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0" w:rsidRPr="00160422" w:rsidRDefault="00CD7E30" w:rsidP="00CD7E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Оголошення</w:t>
      </w:r>
      <w:proofErr w:type="spellEnd"/>
    </w:p>
    <w:p w:rsidR="00CD7E30" w:rsidRPr="00160422" w:rsidRDefault="00CD7E30" w:rsidP="00CD7E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Фонду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гарантування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вкладів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фізичних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осіб</w:t>
      </w:r>
      <w:proofErr w:type="spellEnd"/>
    </w:p>
    <w:p w:rsidR="00CD7E30" w:rsidRPr="00160422" w:rsidRDefault="00CD7E30" w:rsidP="00CD7E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щодо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проведення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відкритих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торгів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аукціону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)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продажу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активі</w:t>
      </w:r>
      <w:proofErr w:type="gram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–</w:t>
      </w:r>
    </w:p>
    <w:p w:rsidR="00CD7E30" w:rsidRPr="00160422" w:rsidRDefault="00CD7E30" w:rsidP="00CD7E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прав </w:t>
      </w:r>
      <w:proofErr w:type="spellStart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вимоги</w:t>
      </w:r>
      <w:proofErr w:type="spellEnd"/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за кредитами </w:t>
      </w:r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ПАТ «</w:t>
      </w:r>
      <w:proofErr w:type="spellStart"/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Банк»</w:t>
      </w:r>
    </w:p>
    <w:p w:rsidR="00CD7E30" w:rsidRPr="00160422" w:rsidRDefault="00CD7E30" w:rsidP="00CD7E3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Фонд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гарантування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вкладів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фізичних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осіб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повідомляє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про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проведення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відкритих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електронних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торгів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(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аукціону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)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продажу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наступних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активів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що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обліковуються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балансі</w:t>
      </w:r>
      <w:proofErr w:type="spellEnd"/>
      <w:r w:rsidR="00160422"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ПАТ «</w:t>
      </w:r>
      <w:proofErr w:type="spellStart"/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Pr="00160422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Банк»</w:t>
      </w: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</w:p>
    <w:p w:rsidR="00CD7E30" w:rsidRPr="00160422" w:rsidRDefault="00CD7E30" w:rsidP="00CD7E30">
      <w:pPr>
        <w:shd w:val="clear" w:color="auto" w:fill="FFFFFF"/>
        <w:spacing w:before="270"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2132"/>
        <w:gridCol w:w="2366"/>
        <w:gridCol w:w="1898"/>
        <w:gridCol w:w="2505"/>
      </w:tblGrid>
      <w:tr w:rsidR="00CD7E30" w:rsidRPr="00160422" w:rsidTr="001B0B74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CD7E30" w:rsidRPr="00160422" w:rsidRDefault="00CD7E30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лоту</w:t>
            </w:r>
          </w:p>
        </w:tc>
        <w:tc>
          <w:tcPr>
            <w:tcW w:w="1137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30" w:rsidRPr="00160422" w:rsidRDefault="00CD7E30" w:rsidP="001604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</w:t>
            </w:r>
          </w:p>
        </w:tc>
        <w:tc>
          <w:tcPr>
            <w:tcW w:w="1262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012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продажу лоту,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 (без ПДВ)</w:t>
            </w:r>
          </w:p>
        </w:tc>
        <w:tc>
          <w:tcPr>
            <w:tcW w:w="1336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паспорт активу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</w:p>
        </w:tc>
      </w:tr>
      <w:tr w:rsidR="0033451D" w:rsidRPr="00160422" w:rsidTr="001B0B74">
        <w:tc>
          <w:tcPr>
            <w:tcW w:w="253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7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1604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 Ф-К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20.12.07</w:t>
            </w:r>
          </w:p>
        </w:tc>
        <w:tc>
          <w:tcPr>
            <w:tcW w:w="12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їдальні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1997,0 кв.м,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Миколаївська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Березанський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01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51D" w:rsidRPr="00F61D47" w:rsidRDefault="0033451D" w:rsidP="002A1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1D47">
              <w:rPr>
                <w:rFonts w:ascii="Times New Roman" w:hAnsi="Times New Roman"/>
                <w:color w:val="000000"/>
                <w:sz w:val="16"/>
                <w:szCs w:val="16"/>
              </w:rPr>
              <w:t>4 455 893,40</w:t>
            </w:r>
          </w:p>
        </w:tc>
        <w:tc>
          <w:tcPr>
            <w:tcW w:w="133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EB5F9A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33451D" w:rsidRPr="00160422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http://torgi.fg.gov.ua:80/114280</w:t>
              </w:r>
            </w:hyperlink>
          </w:p>
        </w:tc>
      </w:tr>
      <w:tr w:rsidR="0033451D" w:rsidRPr="00160422" w:rsidTr="001B0B74">
        <w:tc>
          <w:tcPr>
            <w:tcW w:w="253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1604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07/30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11.07.07</w:t>
            </w:r>
          </w:p>
        </w:tc>
        <w:tc>
          <w:tcPr>
            <w:tcW w:w="12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287,3 кв</w:t>
            </w:r>
            <w:proofErr w:type="gram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пл.-83,9 кв.м, 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земельною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ділянкою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0,1га 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для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гаражного, дачного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буд-ва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</w:p>
        </w:tc>
        <w:tc>
          <w:tcPr>
            <w:tcW w:w="101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51D" w:rsidRPr="00F61D47" w:rsidRDefault="0033451D" w:rsidP="002A1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1D47">
              <w:rPr>
                <w:rFonts w:ascii="Times New Roman" w:hAnsi="Times New Roman"/>
                <w:color w:val="000000"/>
                <w:sz w:val="16"/>
                <w:szCs w:val="16"/>
              </w:rPr>
              <w:t>1 944 162,50</w:t>
            </w:r>
          </w:p>
        </w:tc>
        <w:tc>
          <w:tcPr>
            <w:tcW w:w="133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EB5F9A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33451D" w:rsidRPr="00160422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http://torgi.fg.gov.ua:80/114282</w:t>
              </w:r>
            </w:hyperlink>
          </w:p>
        </w:tc>
      </w:tr>
      <w:tr w:rsidR="0033451D" w:rsidRPr="00160422" w:rsidTr="001B0B74">
        <w:tc>
          <w:tcPr>
            <w:tcW w:w="253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1604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516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04.09.06</w:t>
            </w:r>
          </w:p>
        </w:tc>
        <w:tc>
          <w:tcPr>
            <w:tcW w:w="12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792822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223,2 кв</w:t>
            </w:r>
            <w:proofErr w:type="gram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площа-59,4 кв.м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ділянк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а</w:t>
            </w:r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. пл. 0,1996 га,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цільове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призн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будівництва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і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обслуг.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житл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удинку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,</w:t>
            </w:r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>Київська</w:t>
            </w:r>
            <w:proofErr w:type="spellEnd"/>
            <w:r w:rsidRPr="008F4F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2) 2-кімнатна квартира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площею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64,10 кв.м,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площа-31,90 кв.м,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01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51D" w:rsidRPr="00F61D47" w:rsidRDefault="0033451D" w:rsidP="002A1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1D47">
              <w:rPr>
                <w:rFonts w:ascii="Times New Roman" w:hAnsi="Times New Roman"/>
                <w:color w:val="000000"/>
                <w:sz w:val="16"/>
                <w:szCs w:val="16"/>
              </w:rPr>
              <w:t>5 833 333,34</w:t>
            </w:r>
          </w:p>
        </w:tc>
        <w:tc>
          <w:tcPr>
            <w:tcW w:w="133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EB5F9A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33451D" w:rsidRPr="00160422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br/>
                <w:t>http://torgi.fg.gov.ua:80/114283</w:t>
              </w:r>
            </w:hyperlink>
          </w:p>
        </w:tc>
      </w:tr>
      <w:tr w:rsidR="0033451D" w:rsidRPr="00160422" w:rsidTr="001B0B74">
        <w:tc>
          <w:tcPr>
            <w:tcW w:w="253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1604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06.06.07</w:t>
            </w:r>
          </w:p>
        </w:tc>
        <w:tc>
          <w:tcPr>
            <w:tcW w:w="12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33451D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Трьохкімнатна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126,70 кв.м., жила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68,1 кв.м.), яка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розташована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01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51D" w:rsidRPr="00F61D47" w:rsidRDefault="0033451D" w:rsidP="002A1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1D47">
              <w:rPr>
                <w:rFonts w:ascii="Times New Roman" w:hAnsi="Times New Roman"/>
                <w:color w:val="000000"/>
                <w:sz w:val="16"/>
                <w:szCs w:val="16"/>
              </w:rPr>
              <w:t>2 333 333,34</w:t>
            </w:r>
          </w:p>
        </w:tc>
        <w:tc>
          <w:tcPr>
            <w:tcW w:w="133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1D" w:rsidRPr="00160422" w:rsidRDefault="00EB5F9A" w:rsidP="00CD7E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33451D" w:rsidRPr="00160422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br/>
                <w:t>http://torgi.fg.gov.ua:80/114285</w:t>
              </w:r>
            </w:hyperlink>
          </w:p>
        </w:tc>
      </w:tr>
    </w:tbl>
    <w:p w:rsidR="00CD7E30" w:rsidRPr="00160422" w:rsidRDefault="00CD7E30" w:rsidP="00CD7E30">
      <w:pPr>
        <w:shd w:val="clear" w:color="auto" w:fill="FFFFFF"/>
        <w:spacing w:before="270"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CD7E30" w:rsidRPr="00160422" w:rsidRDefault="00CD7E30" w:rsidP="00CD7E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ПАСПОРТ ТОРГІВ</w:t>
      </w:r>
    </w:p>
    <w:p w:rsidR="00CD7E30" w:rsidRPr="00160422" w:rsidRDefault="00CD7E30" w:rsidP="00CD7E30">
      <w:pPr>
        <w:shd w:val="clear" w:color="auto" w:fill="FFFFFF"/>
        <w:spacing w:before="270"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умови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продажу </w:t>
      </w:r>
      <w:proofErr w:type="spellStart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лотів</w:t>
      </w:r>
      <w:proofErr w:type="spellEnd"/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№№ </w:t>
      </w:r>
      <w:r w:rsidR="001B0B74"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</w:t>
      </w: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-5)</w:t>
      </w:r>
    </w:p>
    <w:p w:rsidR="00CD7E30" w:rsidRPr="00160422" w:rsidRDefault="00CD7E30" w:rsidP="00CD7E30">
      <w:pPr>
        <w:shd w:val="clear" w:color="auto" w:fill="FFFFFF"/>
        <w:spacing w:before="270"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60422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1"/>
        <w:gridCol w:w="5344"/>
      </w:tblGrid>
      <w:tr w:rsidR="00CD7E30" w:rsidRPr="00160422" w:rsidTr="00CD7E30">
        <w:trPr>
          <w:trHeight w:val="20"/>
        </w:trPr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виставляються</w:t>
            </w:r>
            <w:proofErr w:type="spellEnd"/>
          </w:p>
        </w:tc>
        <w:tc>
          <w:tcPr>
            <w:tcW w:w="2850" w:type="pct"/>
            <w:tcBorders>
              <w:top w:val="single" w:sz="8" w:space="0" w:color="000000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1B0B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лоти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виставляються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B0B74"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повторно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та дата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Рішення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дирекції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ФГВФО/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питань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умов продажу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№1249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18.07.2016 року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Організатор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універсальна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біржа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Адреса: 01601,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Б.Хмельницького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  буд. 55, оф. 413, тел. (044) 278-04-27,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працює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щоденно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вихідних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 09.00 до 18.00</w:t>
            </w:r>
          </w:p>
          <w:p w:rsidR="00CD7E30" w:rsidRPr="00160422" w:rsidRDefault="00EB5F9A" w:rsidP="00CD7E30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CD7E30" w:rsidRPr="00160422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www.uub.com.ua</w:t>
              </w:r>
            </w:hyperlink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торгів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юридичні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особи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– банки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небанківські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спілок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725,00 грн., в т.ч. ПДВ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10%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початкової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лотів</w:t>
            </w:r>
            <w:proofErr w:type="spellEnd"/>
            <w:proofErr w:type="gram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але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більше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500 тис. грн.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зареєстрованих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учасників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FF3CCE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Відкриті</w:t>
            </w:r>
            <w:proofErr w:type="spellEnd"/>
            <w:r>
              <w:rPr>
                <w:rFonts w:ascii="Times New Roman" w:hAnsi="Times New Roman"/>
              </w:rPr>
              <w:t xml:space="preserve"> торги (</w:t>
            </w:r>
            <w:proofErr w:type="spellStart"/>
            <w:r>
              <w:rPr>
                <w:rFonts w:ascii="Times New Roman" w:hAnsi="Times New Roman"/>
              </w:rPr>
              <w:t>аукціон</w:t>
            </w:r>
            <w:proofErr w:type="spellEnd"/>
            <w:r>
              <w:rPr>
                <w:rFonts w:ascii="Times New Roman" w:hAnsi="Times New Roman"/>
              </w:rPr>
              <w:t xml:space="preserve">) не </w:t>
            </w:r>
            <w:proofErr w:type="spellStart"/>
            <w:r>
              <w:rPr>
                <w:rFonts w:ascii="Times New Roman" w:hAnsi="Times New Roman"/>
              </w:rPr>
              <w:t>можуть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вважатися</w:t>
            </w:r>
            <w:proofErr w:type="spellEnd"/>
            <w:r>
              <w:rPr>
                <w:rFonts w:ascii="Times New Roman" w:hAnsi="Times New Roman"/>
              </w:rPr>
              <w:t xml:space="preserve"> такими,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відбулися</w:t>
            </w:r>
            <w:proofErr w:type="spellEnd"/>
            <w:r>
              <w:rPr>
                <w:rFonts w:ascii="Times New Roman" w:hAnsi="Times New Roman"/>
              </w:rPr>
              <w:t xml:space="preserve">, у </w:t>
            </w:r>
            <w:proofErr w:type="spellStart"/>
            <w:r>
              <w:rPr>
                <w:rFonts w:ascii="Times New Roman" w:hAnsi="Times New Roman"/>
              </w:rPr>
              <w:t>разі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відсутності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кроку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відкритого</w:t>
            </w:r>
            <w:proofErr w:type="spellEnd"/>
            <w:r>
              <w:rPr>
                <w:rFonts w:ascii="Times New Roman" w:hAnsi="Times New Roman"/>
              </w:rPr>
              <w:t xml:space="preserve"> конкурсу (</w:t>
            </w:r>
            <w:proofErr w:type="spellStart"/>
            <w:r>
              <w:rPr>
                <w:rFonts w:ascii="Times New Roman" w:hAnsi="Times New Roman"/>
              </w:rPr>
              <w:t>аукціону</w:t>
            </w:r>
            <w:proofErr w:type="spellEnd"/>
            <w:r>
              <w:rPr>
                <w:rFonts w:ascii="Times New Roman" w:hAnsi="Times New Roman"/>
              </w:rPr>
              <w:t xml:space="preserve">) у </w:t>
            </w:r>
            <w:proofErr w:type="spellStart"/>
            <w:r>
              <w:rPr>
                <w:rFonts w:ascii="Times New Roman" w:hAnsi="Times New Roman"/>
              </w:rPr>
              <w:t>розрізі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якщо</w:t>
            </w:r>
            <w:proofErr w:type="spellEnd"/>
            <w:r>
              <w:rPr>
                <w:rFonts w:ascii="Times New Roman" w:hAnsi="Times New Roman"/>
              </w:rPr>
              <w:t xml:space="preserve"> на участь у </w:t>
            </w:r>
            <w:proofErr w:type="spellStart"/>
            <w:r>
              <w:rPr>
                <w:rFonts w:ascii="Times New Roman" w:hAnsi="Times New Roman"/>
              </w:rPr>
              <w:t>відкритому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конкурсі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аукціоні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було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зареєстровано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лише</w:t>
            </w:r>
            <w:proofErr w:type="spellEnd"/>
            <w:r>
              <w:rPr>
                <w:rFonts w:ascii="Times New Roman" w:hAnsi="Times New Roman"/>
              </w:rPr>
              <w:t xml:space="preserve"> одного </w:t>
            </w:r>
            <w:proofErr w:type="spellStart"/>
            <w:r>
              <w:rPr>
                <w:rFonts w:ascii="Times New Roman" w:hAnsi="Times New Roman"/>
              </w:rPr>
              <w:t>потенційного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покупця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D7E30"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внесків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сплачують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Виконавця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26000000001643 в ПАТ “КРЕДІ АГРІКОЛЬ БАНК”, МФО 300614, код ЄДРПОУ 25158707,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універсальна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біржа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Виконавця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26007000000380 в ПАТ «КРЕДІ АГРІКОЛЬ БАНК», МФО 300614, код ЄДРПОУ 25158707,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універсальна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біржа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1%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лота.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активом</w:t>
            </w:r>
          </w:p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кімнаті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даних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ля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ознайомлення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активом 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кімнаті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даних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необхідно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подати заявку про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зацікавленість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придбанні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активу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підписати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договір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конфіденційність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посилання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форми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заявки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договору</w:t>
            </w:r>
            <w:hyperlink r:id="rId9" w:history="1"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</w:t>
              </w:r>
              <w:proofErr w:type="spellEnd"/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torgi.fg.gov.ua</w:t>
              </w:r>
              <w:proofErr w:type="spellEnd"/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nda</w:t>
              </w:r>
              <w:proofErr w:type="spellEnd"/>
            </w:hyperlink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. Заявки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подаються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паперовому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електронному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вигляді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наступні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адреси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CD7E30" w:rsidRPr="00160422" w:rsidRDefault="00CD7E30" w:rsidP="00CD7E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ФГВФО, 04053,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Січових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Стрільців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17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поштою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hyperlink r:id="rId10" w:history="1"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clo@fg.gov.ua</w:t>
              </w:r>
            </w:hyperlink>
          </w:p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2) 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(ПАТ «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ВіЕйБі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Банк»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. Г.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), 18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електронною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поштою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hyperlink r:id="rId11" w:history="1"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info@vab.ua</w:t>
              </w:r>
            </w:hyperlink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Контактна особа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від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банку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питань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ознайомлення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активом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Іваненко Юрій Миколайович, (044)490 06 18, 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. Г.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), 18)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hyperlink r:id="rId12" w:history="1">
              <w:r w:rsidRPr="00160422">
                <w:rPr>
                  <w:rFonts w:ascii="Times New Roman" w:eastAsia="Times New Roman" w:hAnsi="Times New Roman" w:cs="Times New Roman"/>
                  <w:i/>
                  <w:i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y.m.ivanenko@vab.ua</w:t>
              </w:r>
            </w:hyperlink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33451D" w:rsidP="00160422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</w:t>
            </w:r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6042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року.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10:00</w:t>
            </w:r>
            <w:r w:rsidR="00BF1B06" w:rsidRPr="0016042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для доступу до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EB5F9A" w:rsidP="00CD7E3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D7E30" w:rsidRPr="00160422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www.uub.com.ua</w:t>
              </w:r>
            </w:hyperlink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"/>
            <w:bookmarkEnd w:id="0"/>
          </w:p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форма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EB5F9A" w:rsidP="00CD7E3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D7E30" w:rsidRPr="00160422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www.uub.com.ua</w:t>
              </w:r>
            </w:hyperlink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33451D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дата початку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33451D" w:rsidRPr="003345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  <w:r w:rsidR="003345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33451D" w:rsidRPr="003345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.2016, дата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закінчення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33451D" w:rsidRPr="0033451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10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.2016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сплати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CD7E30" w:rsidRPr="00160422" w:rsidRDefault="00CD7E30" w:rsidP="00CD7E30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строк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та оплати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внесків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15:00 год </w:t>
            </w:r>
            <w:r w:rsidR="0033451D" w:rsidRPr="0033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6042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року.</w:t>
            </w:r>
          </w:p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CD7E30" w:rsidRPr="00160422" w:rsidTr="00CD7E30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Обмеження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торгів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Четверо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відкритих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</w:p>
        </w:tc>
      </w:tr>
      <w:tr w:rsidR="00CD7E30" w:rsidRPr="00160422" w:rsidTr="00CD7E30">
        <w:trPr>
          <w:trHeight w:val="20"/>
        </w:trPr>
        <w:tc>
          <w:tcPr>
            <w:tcW w:w="5000" w:type="pct"/>
            <w:gridSpan w:val="2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30" w:rsidRPr="00160422" w:rsidRDefault="00CD7E30" w:rsidP="00CD7E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Кожний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учасник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торгів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який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реєструється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участі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у торгах, </w:t>
            </w:r>
            <w:proofErr w:type="spellStart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приймає</w:t>
            </w:r>
            <w:proofErr w:type="spellEnd"/>
            <w:r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Правила </w:t>
            </w:r>
            <w:r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hyperlink r:id="rId15" w:tgtFrame="_blank" w:history="1">
              <w:r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http://uub.com.ua/wp-content/uploads/2014/08/7-PRAVILA-PROV.-AUKTS.-traven-2016.pdf</w:t>
              </w:r>
            </w:hyperlink>
          </w:p>
          <w:p w:rsidR="00CD7E30" w:rsidRPr="00160422" w:rsidRDefault="00EB5F9A" w:rsidP="00CD7E30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gtFrame="_blank" w:history="1">
              <w:r w:rsidR="00CD7E30" w:rsidRPr="00160422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http://auk.uub.com.ua/site/about</w:t>
              </w:r>
            </w:hyperlink>
            <w:r w:rsidR="00CD7E30" w:rsidRPr="001604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(Правила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аукціонів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електронній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формі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продажу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активів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банків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яких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Фондом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гарантування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вкладів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осіб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прийнято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рішення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процедури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ліквідації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на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Українській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універсальній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біржі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 Регламент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електронному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майданчику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Української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універсальної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біржі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затверджених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Українською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універсальною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біржею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які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розміщені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веб-сайті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організатора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зобов’язаний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разі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визнання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переможцем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сплатити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організатору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винагороду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аукціону</w:t>
            </w:r>
            <w:proofErr w:type="spellEnd"/>
            <w:r w:rsidR="00CD7E30" w:rsidRPr="0016042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D96E5A" w:rsidRPr="00160422" w:rsidRDefault="00E11CF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96E5A" w:rsidRPr="00160422" w:rsidSect="0037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E30"/>
    <w:rsid w:val="00160422"/>
    <w:rsid w:val="001B0B74"/>
    <w:rsid w:val="002D51B9"/>
    <w:rsid w:val="0033451D"/>
    <w:rsid w:val="003732EB"/>
    <w:rsid w:val="0043419F"/>
    <w:rsid w:val="00463A8D"/>
    <w:rsid w:val="00792822"/>
    <w:rsid w:val="00BF1B06"/>
    <w:rsid w:val="00CD7E30"/>
    <w:rsid w:val="00E11CF9"/>
    <w:rsid w:val="00EB5F9A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E30"/>
  </w:style>
  <w:style w:type="character" w:styleId="a4">
    <w:name w:val="Hyperlink"/>
    <w:basedOn w:val="a0"/>
    <w:uiPriority w:val="99"/>
    <w:semiHidden/>
    <w:unhideWhenUsed/>
    <w:rsid w:val="00CD7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E30"/>
  </w:style>
  <w:style w:type="character" w:styleId="a4">
    <w:name w:val="Hyperlink"/>
    <w:basedOn w:val="a0"/>
    <w:uiPriority w:val="99"/>
    <w:semiHidden/>
    <w:unhideWhenUsed/>
    <w:rsid w:val="00CD7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b.com.ua/" TargetMode="External"/><Relationship Id="rId13" Type="http://schemas.openxmlformats.org/officeDocument/2006/relationships/hyperlink" Target="http://www.uub.com.u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14285" TargetMode="External"/><Relationship Id="rId12" Type="http://schemas.openxmlformats.org/officeDocument/2006/relationships/hyperlink" Target="mailto:y.m.ivanenko@vab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uk.uub.com.ua/site/about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4283" TargetMode="External"/><Relationship Id="rId11" Type="http://schemas.openxmlformats.org/officeDocument/2006/relationships/hyperlink" Target="mailto:info@vab.ua" TargetMode="External"/><Relationship Id="rId5" Type="http://schemas.openxmlformats.org/officeDocument/2006/relationships/hyperlink" Target="http://torgi.fg.gov.ua/114282" TargetMode="External"/><Relationship Id="rId15" Type="http://schemas.openxmlformats.org/officeDocument/2006/relationships/hyperlink" Target="http://uub.com.ua/wp-content/uploads/2014/08/7-PRAVILA-PROV.-AUKTS.-traven-2016.pdf" TargetMode="External"/><Relationship Id="rId10" Type="http://schemas.openxmlformats.org/officeDocument/2006/relationships/hyperlink" Target="mailto:clo@fg.gov.ua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torgi.fg.gov.ua/114280" TargetMode="Externa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uu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 Bank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M.Bashmakova</dc:creator>
  <cp:lastModifiedBy>Ведринський</cp:lastModifiedBy>
  <cp:revision>14</cp:revision>
  <dcterms:created xsi:type="dcterms:W3CDTF">2016-10-17T07:29:00Z</dcterms:created>
  <dcterms:modified xsi:type="dcterms:W3CDTF">2016-10-26T15:37:00Z</dcterms:modified>
</cp:coreProperties>
</file>